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horzAnchor="margin" w:tblpX="-862" w:tblpY="1755"/>
        <w:tblW w:w="10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4"/>
        <w:gridCol w:w="6028"/>
        <w:gridCol w:w="1554"/>
        <w:gridCol w:w="1144"/>
        <w:gridCol w:w="1196"/>
      </w:tblGrid>
      <w:tr w:rsidR="000954C1" w:rsidTr="000954C1">
        <w:tblPrEx>
          <w:tblCellMar>
            <w:top w:w="0" w:type="dxa"/>
            <w:bottom w:w="0" w:type="dxa"/>
          </w:tblCellMar>
        </w:tblPrEx>
        <w:trPr>
          <w:trHeight w:val="765"/>
        </w:trPr>
        <w:tc>
          <w:tcPr>
            <w:tcW w:w="10806" w:type="dxa"/>
            <w:gridSpan w:val="5"/>
            <w:vAlign w:val="center"/>
          </w:tcPr>
          <w:p w:rsidR="000954C1" w:rsidRDefault="000954C1" w:rsidP="000954C1">
            <w:pPr>
              <w:spacing w:line="360" w:lineRule="auto"/>
              <w:jc w:val="center"/>
              <w:rPr>
                <w:b/>
                <w:sz w:val="28"/>
                <w:szCs w:val="28"/>
              </w:rPr>
            </w:pPr>
            <w:proofErr w:type="spellStart"/>
            <w:r>
              <w:rPr>
                <w:b/>
                <w:sz w:val="28"/>
                <w:szCs w:val="28"/>
              </w:rPr>
              <w:t>Cijena</w:t>
            </w:r>
            <w:proofErr w:type="spellEnd"/>
            <w:r>
              <w:rPr>
                <w:b/>
                <w:sz w:val="28"/>
                <w:szCs w:val="28"/>
              </w:rPr>
              <w:t xml:space="preserve"> </w:t>
            </w:r>
            <w:proofErr w:type="spellStart"/>
            <w:r>
              <w:rPr>
                <w:b/>
                <w:sz w:val="28"/>
                <w:szCs w:val="28"/>
              </w:rPr>
              <w:t>korištenja</w:t>
            </w:r>
            <w:proofErr w:type="spellEnd"/>
            <w:r>
              <w:rPr>
                <w:b/>
                <w:sz w:val="28"/>
                <w:szCs w:val="28"/>
              </w:rPr>
              <w:t xml:space="preserve"> </w:t>
            </w:r>
            <w:proofErr w:type="spellStart"/>
            <w:r>
              <w:rPr>
                <w:b/>
                <w:sz w:val="28"/>
                <w:szCs w:val="28"/>
              </w:rPr>
              <w:t>javnih</w:t>
            </w:r>
            <w:proofErr w:type="spellEnd"/>
            <w:r>
              <w:rPr>
                <w:b/>
                <w:sz w:val="28"/>
                <w:szCs w:val="28"/>
              </w:rPr>
              <w:t xml:space="preserve"> </w:t>
            </w:r>
            <w:proofErr w:type="spellStart"/>
            <w:r>
              <w:rPr>
                <w:b/>
                <w:sz w:val="28"/>
                <w:szCs w:val="28"/>
              </w:rPr>
              <w:t>površina</w:t>
            </w:r>
            <w:proofErr w:type="spellEnd"/>
            <w:r>
              <w:rPr>
                <w:b/>
                <w:sz w:val="28"/>
                <w:szCs w:val="28"/>
              </w:rPr>
              <w:t xml:space="preserve"> </w:t>
            </w:r>
            <w:proofErr w:type="spellStart"/>
            <w:r>
              <w:rPr>
                <w:b/>
                <w:sz w:val="28"/>
                <w:szCs w:val="28"/>
              </w:rPr>
              <w:t>za</w:t>
            </w:r>
            <w:proofErr w:type="spellEnd"/>
            <w:r>
              <w:rPr>
                <w:b/>
                <w:sz w:val="28"/>
                <w:szCs w:val="28"/>
              </w:rPr>
              <w:t xml:space="preserve"> </w:t>
            </w:r>
            <w:proofErr w:type="spellStart"/>
            <w:r>
              <w:rPr>
                <w:b/>
                <w:sz w:val="28"/>
                <w:szCs w:val="28"/>
              </w:rPr>
              <w:t>obavljanje</w:t>
            </w:r>
            <w:proofErr w:type="spellEnd"/>
            <w:r>
              <w:rPr>
                <w:b/>
                <w:sz w:val="28"/>
                <w:szCs w:val="28"/>
              </w:rPr>
              <w:t xml:space="preserve"> </w:t>
            </w:r>
            <w:proofErr w:type="spellStart"/>
            <w:r>
              <w:rPr>
                <w:b/>
                <w:sz w:val="28"/>
                <w:szCs w:val="28"/>
              </w:rPr>
              <w:t>djelatnosti</w:t>
            </w:r>
            <w:proofErr w:type="spellEnd"/>
            <w:r>
              <w:rPr>
                <w:b/>
                <w:sz w:val="28"/>
                <w:szCs w:val="28"/>
              </w:rPr>
              <w:t xml:space="preserve"> </w:t>
            </w:r>
            <w:proofErr w:type="spellStart"/>
            <w:r>
              <w:rPr>
                <w:b/>
                <w:sz w:val="28"/>
                <w:szCs w:val="28"/>
              </w:rPr>
              <w:t>od</w:t>
            </w:r>
            <w:proofErr w:type="spellEnd"/>
            <w:r>
              <w:rPr>
                <w:b/>
                <w:sz w:val="28"/>
                <w:szCs w:val="28"/>
              </w:rPr>
              <w:t xml:space="preserve"> </w:t>
            </w:r>
            <w:proofErr w:type="spellStart"/>
            <w:r>
              <w:rPr>
                <w:b/>
                <w:sz w:val="28"/>
                <w:szCs w:val="28"/>
              </w:rPr>
              <w:t>strane</w:t>
            </w:r>
            <w:proofErr w:type="spellEnd"/>
            <w:r>
              <w:rPr>
                <w:b/>
                <w:sz w:val="28"/>
                <w:szCs w:val="28"/>
              </w:rPr>
              <w:t xml:space="preserve"> </w:t>
            </w:r>
            <w:proofErr w:type="spellStart"/>
            <w:r>
              <w:rPr>
                <w:b/>
                <w:sz w:val="28"/>
                <w:szCs w:val="28"/>
              </w:rPr>
              <w:t>pravnih</w:t>
            </w:r>
            <w:proofErr w:type="spellEnd"/>
            <w:r>
              <w:rPr>
                <w:b/>
                <w:sz w:val="28"/>
                <w:szCs w:val="28"/>
              </w:rPr>
              <w:t xml:space="preserve"> </w:t>
            </w:r>
            <w:proofErr w:type="spellStart"/>
            <w:r>
              <w:rPr>
                <w:b/>
                <w:sz w:val="28"/>
                <w:szCs w:val="28"/>
              </w:rPr>
              <w:t>i</w:t>
            </w:r>
            <w:proofErr w:type="spellEnd"/>
            <w:r>
              <w:rPr>
                <w:b/>
                <w:sz w:val="28"/>
                <w:szCs w:val="28"/>
              </w:rPr>
              <w:t xml:space="preserve"> </w:t>
            </w:r>
            <w:proofErr w:type="spellStart"/>
            <w:r>
              <w:rPr>
                <w:b/>
                <w:sz w:val="28"/>
                <w:szCs w:val="28"/>
              </w:rPr>
              <w:t>fizičkih</w:t>
            </w:r>
            <w:proofErr w:type="spellEnd"/>
            <w:r>
              <w:rPr>
                <w:b/>
                <w:sz w:val="28"/>
                <w:szCs w:val="28"/>
              </w:rPr>
              <w:t xml:space="preserve"> </w:t>
            </w:r>
            <w:proofErr w:type="spellStart"/>
            <w:r>
              <w:rPr>
                <w:b/>
                <w:sz w:val="28"/>
                <w:szCs w:val="28"/>
              </w:rPr>
              <w:t>lica</w:t>
            </w:r>
            <w:proofErr w:type="spellEnd"/>
          </w:p>
        </w:tc>
      </w:tr>
      <w:tr w:rsidR="000954C1" w:rsidTr="000954C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bottom w:w="0" w:type="dxa"/>
          </w:tblCellMar>
          <w:tblLook w:val="04A0"/>
        </w:tblPrEx>
        <w:trPr>
          <w:trHeight w:val="535"/>
        </w:trPr>
        <w:tc>
          <w:tcPr>
            <w:tcW w:w="884" w:type="dxa"/>
          </w:tcPr>
          <w:p w:rsidR="000954C1" w:rsidRPr="000954C1" w:rsidRDefault="000954C1" w:rsidP="000954C1">
            <w:pPr>
              <w:spacing w:line="360" w:lineRule="auto"/>
              <w:jc w:val="center"/>
              <w:rPr>
                <w:b/>
                <w:sz w:val="28"/>
                <w:szCs w:val="28"/>
              </w:rPr>
            </w:pPr>
            <w:proofErr w:type="spellStart"/>
            <w:r w:rsidRPr="000954C1">
              <w:rPr>
                <w:b/>
                <w:sz w:val="28"/>
                <w:szCs w:val="28"/>
              </w:rPr>
              <w:t>Redni</w:t>
            </w:r>
            <w:proofErr w:type="spellEnd"/>
            <w:r w:rsidRPr="000954C1">
              <w:rPr>
                <w:b/>
                <w:sz w:val="28"/>
                <w:szCs w:val="28"/>
              </w:rPr>
              <w:t xml:space="preserve"> </w:t>
            </w:r>
            <w:proofErr w:type="spellStart"/>
            <w:r w:rsidRPr="000954C1">
              <w:rPr>
                <w:b/>
                <w:sz w:val="28"/>
                <w:szCs w:val="28"/>
              </w:rPr>
              <w:t>broj</w:t>
            </w:r>
            <w:proofErr w:type="spellEnd"/>
          </w:p>
        </w:tc>
        <w:tc>
          <w:tcPr>
            <w:tcW w:w="6028" w:type="dxa"/>
            <w:tcBorders>
              <w:right w:val="single" w:sz="4" w:space="0" w:color="auto"/>
            </w:tcBorders>
            <w:vAlign w:val="center"/>
          </w:tcPr>
          <w:p w:rsidR="000954C1" w:rsidRPr="000954C1" w:rsidRDefault="000954C1" w:rsidP="000954C1">
            <w:pPr>
              <w:spacing w:line="360" w:lineRule="auto"/>
              <w:jc w:val="center"/>
              <w:rPr>
                <w:b/>
                <w:sz w:val="28"/>
                <w:szCs w:val="28"/>
              </w:rPr>
            </w:pPr>
            <w:proofErr w:type="spellStart"/>
            <w:r w:rsidRPr="000954C1">
              <w:rPr>
                <w:b/>
                <w:sz w:val="28"/>
                <w:szCs w:val="28"/>
              </w:rPr>
              <w:t>Opis</w:t>
            </w:r>
            <w:proofErr w:type="spellEnd"/>
            <w:r w:rsidRPr="000954C1">
              <w:rPr>
                <w:b/>
                <w:sz w:val="28"/>
                <w:szCs w:val="28"/>
              </w:rPr>
              <w:t xml:space="preserve"> </w:t>
            </w:r>
            <w:proofErr w:type="spellStart"/>
            <w:r w:rsidRPr="000954C1">
              <w:rPr>
                <w:b/>
                <w:sz w:val="28"/>
                <w:szCs w:val="28"/>
              </w:rPr>
              <w:t>usluge</w:t>
            </w:r>
            <w:proofErr w:type="spellEnd"/>
          </w:p>
        </w:tc>
        <w:tc>
          <w:tcPr>
            <w:tcW w:w="1554" w:type="dxa"/>
            <w:tcBorders>
              <w:left w:val="single" w:sz="4" w:space="0" w:color="auto"/>
            </w:tcBorders>
          </w:tcPr>
          <w:p w:rsidR="000954C1" w:rsidRPr="000954C1" w:rsidRDefault="000954C1" w:rsidP="000954C1">
            <w:pPr>
              <w:spacing w:line="360" w:lineRule="auto"/>
              <w:jc w:val="center"/>
              <w:rPr>
                <w:b/>
                <w:sz w:val="28"/>
                <w:szCs w:val="28"/>
              </w:rPr>
            </w:pPr>
            <w:proofErr w:type="spellStart"/>
            <w:r w:rsidRPr="000954C1">
              <w:rPr>
                <w:b/>
                <w:sz w:val="28"/>
                <w:szCs w:val="28"/>
              </w:rPr>
              <w:t>Korisnik</w:t>
            </w:r>
            <w:proofErr w:type="spellEnd"/>
            <w:r w:rsidRPr="000954C1">
              <w:rPr>
                <w:b/>
                <w:sz w:val="28"/>
                <w:szCs w:val="28"/>
              </w:rPr>
              <w:t xml:space="preserve"> </w:t>
            </w:r>
            <w:proofErr w:type="spellStart"/>
            <w:r w:rsidRPr="000954C1">
              <w:rPr>
                <w:b/>
                <w:sz w:val="28"/>
                <w:szCs w:val="28"/>
              </w:rPr>
              <w:t>usluge</w:t>
            </w:r>
            <w:proofErr w:type="spellEnd"/>
          </w:p>
        </w:tc>
        <w:tc>
          <w:tcPr>
            <w:tcW w:w="1144" w:type="dxa"/>
          </w:tcPr>
          <w:p w:rsidR="000954C1" w:rsidRPr="000954C1" w:rsidRDefault="000954C1" w:rsidP="000954C1">
            <w:pPr>
              <w:spacing w:line="360" w:lineRule="auto"/>
              <w:jc w:val="center"/>
              <w:rPr>
                <w:b/>
                <w:sz w:val="28"/>
                <w:szCs w:val="28"/>
              </w:rPr>
            </w:pPr>
            <w:proofErr w:type="spellStart"/>
            <w:r w:rsidRPr="000954C1">
              <w:rPr>
                <w:b/>
                <w:sz w:val="28"/>
                <w:szCs w:val="28"/>
              </w:rPr>
              <w:t>Jedinica</w:t>
            </w:r>
            <w:proofErr w:type="spellEnd"/>
            <w:r w:rsidRPr="000954C1">
              <w:rPr>
                <w:b/>
                <w:sz w:val="28"/>
                <w:szCs w:val="28"/>
              </w:rPr>
              <w:t xml:space="preserve"> </w:t>
            </w:r>
            <w:proofErr w:type="spellStart"/>
            <w:r w:rsidRPr="000954C1">
              <w:rPr>
                <w:b/>
                <w:sz w:val="28"/>
                <w:szCs w:val="28"/>
              </w:rPr>
              <w:t>mjere</w:t>
            </w:r>
            <w:proofErr w:type="spellEnd"/>
          </w:p>
        </w:tc>
        <w:tc>
          <w:tcPr>
            <w:tcW w:w="1196" w:type="dxa"/>
          </w:tcPr>
          <w:p w:rsidR="000954C1" w:rsidRPr="000954C1" w:rsidRDefault="000954C1" w:rsidP="000954C1">
            <w:pPr>
              <w:spacing w:line="360" w:lineRule="auto"/>
              <w:jc w:val="center"/>
              <w:rPr>
                <w:b/>
                <w:sz w:val="28"/>
                <w:szCs w:val="28"/>
              </w:rPr>
            </w:pPr>
            <w:proofErr w:type="spellStart"/>
            <w:r w:rsidRPr="000954C1">
              <w:rPr>
                <w:b/>
                <w:sz w:val="28"/>
                <w:szCs w:val="28"/>
              </w:rPr>
              <w:t>Cijena</w:t>
            </w:r>
            <w:proofErr w:type="spellEnd"/>
            <w:r w:rsidRPr="000954C1">
              <w:rPr>
                <w:b/>
                <w:sz w:val="28"/>
                <w:szCs w:val="28"/>
              </w:rPr>
              <w:t xml:space="preserve"> u KM</w:t>
            </w:r>
          </w:p>
        </w:tc>
      </w:tr>
      <w:tr w:rsidR="000954C1" w:rsidTr="000954C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bottom w:w="0" w:type="dxa"/>
          </w:tblCellMar>
          <w:tblLook w:val="04A0"/>
        </w:tblPrEx>
        <w:trPr>
          <w:trHeight w:val="3487"/>
        </w:trPr>
        <w:tc>
          <w:tcPr>
            <w:tcW w:w="884" w:type="dxa"/>
          </w:tcPr>
          <w:p w:rsidR="000954C1" w:rsidRDefault="000954C1" w:rsidP="000954C1">
            <w:pPr>
              <w:spacing w:line="360" w:lineRule="auto"/>
              <w:jc w:val="center"/>
              <w:rPr>
                <w:b/>
              </w:rPr>
            </w:pPr>
            <w:r>
              <w:rPr>
                <w:b/>
              </w:rPr>
              <w:t>13.1.</w:t>
            </w:r>
          </w:p>
        </w:tc>
        <w:tc>
          <w:tcPr>
            <w:tcW w:w="6028" w:type="dxa"/>
            <w:tcBorders>
              <w:right w:val="single" w:sz="4" w:space="0" w:color="auto"/>
            </w:tcBorders>
            <w:vAlign w:val="center"/>
          </w:tcPr>
          <w:p w:rsidR="000954C1" w:rsidRPr="000954C1" w:rsidRDefault="000954C1" w:rsidP="000954C1">
            <w:pPr>
              <w:spacing w:line="360" w:lineRule="auto"/>
              <w:jc w:val="both"/>
              <w:rPr>
                <w:rFonts w:ascii="Times New Roman" w:hAnsi="Times New Roman" w:cs="Times New Roman"/>
                <w:b/>
                <w:sz w:val="24"/>
                <w:szCs w:val="24"/>
              </w:rPr>
            </w:pPr>
            <w:proofErr w:type="spellStart"/>
            <w:r w:rsidRPr="000954C1">
              <w:rPr>
                <w:rFonts w:ascii="Times New Roman" w:hAnsi="Times New Roman" w:cs="Times New Roman"/>
                <w:b/>
                <w:sz w:val="24"/>
                <w:szCs w:val="24"/>
              </w:rPr>
              <w:t>Korištenje</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javnih</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površina</w:t>
            </w:r>
            <w:proofErr w:type="spellEnd"/>
            <w:r w:rsidRPr="000954C1">
              <w:rPr>
                <w:rFonts w:ascii="Times New Roman" w:hAnsi="Times New Roman" w:cs="Times New Roman"/>
                <w:b/>
                <w:sz w:val="24"/>
                <w:szCs w:val="24"/>
              </w:rPr>
              <w:t xml:space="preserve"> u </w:t>
            </w:r>
            <w:proofErr w:type="spellStart"/>
            <w:r w:rsidRPr="000954C1">
              <w:rPr>
                <w:rFonts w:ascii="Times New Roman" w:hAnsi="Times New Roman" w:cs="Times New Roman"/>
                <w:b/>
                <w:sz w:val="24"/>
                <w:szCs w:val="24"/>
              </w:rPr>
              <w:t>urbanim</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zonama</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naselja</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trotoari</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pješačke</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staze</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zelene</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površine</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parkovske</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površine</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i</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druge</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javne</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površine</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za</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obavljanje</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djelatnosti</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ugostiteljstvo</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trgovine</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piljare</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tezge</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zabava</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parkiranja</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odlaganja</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i</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drugi</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vidovi</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zauzimanja</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javnih</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površina</w:t>
            </w:r>
            <w:proofErr w:type="spellEnd"/>
          </w:p>
        </w:tc>
        <w:tc>
          <w:tcPr>
            <w:tcW w:w="1554" w:type="dxa"/>
            <w:tcBorders>
              <w:left w:val="single" w:sz="4" w:space="0" w:color="auto"/>
            </w:tcBorders>
          </w:tcPr>
          <w:p w:rsidR="000954C1" w:rsidRDefault="000954C1" w:rsidP="000954C1">
            <w:pPr>
              <w:spacing w:line="360" w:lineRule="auto"/>
              <w:jc w:val="both"/>
              <w:rPr>
                <w:b/>
              </w:rPr>
            </w:pPr>
          </w:p>
          <w:p w:rsidR="000954C1" w:rsidRDefault="000954C1" w:rsidP="000954C1">
            <w:pPr>
              <w:spacing w:line="360" w:lineRule="auto"/>
              <w:jc w:val="both"/>
              <w:rPr>
                <w:b/>
              </w:rPr>
            </w:pPr>
          </w:p>
          <w:p w:rsidR="000954C1" w:rsidRDefault="000954C1" w:rsidP="000954C1">
            <w:pPr>
              <w:spacing w:line="360" w:lineRule="auto"/>
              <w:jc w:val="both"/>
              <w:rPr>
                <w:b/>
              </w:rPr>
            </w:pPr>
          </w:p>
          <w:p w:rsidR="000954C1" w:rsidRDefault="000954C1" w:rsidP="000954C1">
            <w:pPr>
              <w:spacing w:line="360" w:lineRule="auto"/>
              <w:jc w:val="both"/>
              <w:rPr>
                <w:b/>
              </w:rPr>
            </w:pPr>
            <w:proofErr w:type="spellStart"/>
            <w:r>
              <w:rPr>
                <w:b/>
              </w:rPr>
              <w:t>Fizička</w:t>
            </w:r>
            <w:proofErr w:type="spellEnd"/>
            <w:r>
              <w:rPr>
                <w:b/>
              </w:rPr>
              <w:t xml:space="preserve"> </w:t>
            </w:r>
            <w:proofErr w:type="spellStart"/>
            <w:r>
              <w:rPr>
                <w:b/>
              </w:rPr>
              <w:t>i</w:t>
            </w:r>
            <w:proofErr w:type="spellEnd"/>
            <w:r>
              <w:rPr>
                <w:b/>
              </w:rPr>
              <w:t xml:space="preserve"> </w:t>
            </w:r>
            <w:proofErr w:type="spellStart"/>
            <w:r>
              <w:rPr>
                <w:b/>
              </w:rPr>
              <w:t>pravna</w:t>
            </w:r>
            <w:proofErr w:type="spellEnd"/>
            <w:r>
              <w:rPr>
                <w:b/>
              </w:rPr>
              <w:t xml:space="preserve"> </w:t>
            </w:r>
            <w:proofErr w:type="spellStart"/>
            <w:r>
              <w:rPr>
                <w:b/>
              </w:rPr>
              <w:t>lica</w:t>
            </w:r>
            <w:proofErr w:type="spellEnd"/>
          </w:p>
        </w:tc>
        <w:tc>
          <w:tcPr>
            <w:tcW w:w="1144" w:type="dxa"/>
          </w:tcPr>
          <w:p w:rsidR="000954C1" w:rsidRDefault="000954C1" w:rsidP="000954C1">
            <w:pPr>
              <w:spacing w:line="360" w:lineRule="auto"/>
              <w:jc w:val="center"/>
              <w:rPr>
                <w:b/>
              </w:rPr>
            </w:pPr>
          </w:p>
          <w:p w:rsidR="000954C1" w:rsidRDefault="000954C1" w:rsidP="000954C1">
            <w:pPr>
              <w:spacing w:line="360" w:lineRule="auto"/>
              <w:jc w:val="center"/>
              <w:rPr>
                <w:b/>
              </w:rPr>
            </w:pPr>
          </w:p>
          <w:p w:rsidR="000954C1" w:rsidRDefault="000954C1" w:rsidP="000954C1">
            <w:pPr>
              <w:spacing w:line="360" w:lineRule="auto"/>
              <w:jc w:val="center"/>
              <w:rPr>
                <w:b/>
              </w:rPr>
            </w:pPr>
          </w:p>
          <w:p w:rsidR="000954C1" w:rsidRPr="00AE178F" w:rsidRDefault="000954C1" w:rsidP="000954C1">
            <w:pPr>
              <w:spacing w:line="360" w:lineRule="auto"/>
              <w:jc w:val="center"/>
              <w:rPr>
                <w:b/>
              </w:rPr>
            </w:pPr>
            <w:r>
              <w:rPr>
                <w:b/>
              </w:rPr>
              <w:t>m</w:t>
            </w:r>
            <w:r>
              <w:rPr>
                <w:b/>
                <w:vertAlign w:val="superscript"/>
              </w:rPr>
              <w:t>2</w:t>
            </w:r>
            <w:r>
              <w:rPr>
                <w:b/>
              </w:rPr>
              <w:t>/</w:t>
            </w:r>
            <w:proofErr w:type="spellStart"/>
            <w:r>
              <w:rPr>
                <w:b/>
              </w:rPr>
              <w:t>dan</w:t>
            </w:r>
            <w:proofErr w:type="spellEnd"/>
          </w:p>
        </w:tc>
        <w:tc>
          <w:tcPr>
            <w:tcW w:w="1196" w:type="dxa"/>
          </w:tcPr>
          <w:p w:rsidR="000954C1" w:rsidRDefault="000954C1" w:rsidP="000954C1">
            <w:pPr>
              <w:spacing w:line="360" w:lineRule="auto"/>
              <w:jc w:val="right"/>
              <w:rPr>
                <w:b/>
              </w:rPr>
            </w:pPr>
          </w:p>
          <w:p w:rsidR="000954C1" w:rsidRDefault="000954C1" w:rsidP="000954C1">
            <w:pPr>
              <w:spacing w:line="360" w:lineRule="auto"/>
              <w:jc w:val="right"/>
              <w:rPr>
                <w:b/>
              </w:rPr>
            </w:pPr>
          </w:p>
          <w:p w:rsidR="000954C1" w:rsidRDefault="000954C1" w:rsidP="000954C1">
            <w:pPr>
              <w:spacing w:line="360" w:lineRule="auto"/>
              <w:jc w:val="right"/>
              <w:rPr>
                <w:b/>
              </w:rPr>
            </w:pPr>
          </w:p>
          <w:p w:rsidR="000954C1" w:rsidRDefault="000954C1" w:rsidP="000954C1">
            <w:pPr>
              <w:spacing w:line="360" w:lineRule="auto"/>
              <w:jc w:val="right"/>
              <w:rPr>
                <w:b/>
              </w:rPr>
            </w:pPr>
            <w:r>
              <w:rPr>
                <w:b/>
              </w:rPr>
              <w:t>0,20 KM</w:t>
            </w:r>
          </w:p>
        </w:tc>
      </w:tr>
      <w:tr w:rsidR="000954C1" w:rsidTr="000954C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bottom w:w="0" w:type="dxa"/>
          </w:tblCellMar>
          <w:tblLook w:val="04A0"/>
        </w:tblPrEx>
        <w:trPr>
          <w:trHeight w:val="2513"/>
        </w:trPr>
        <w:tc>
          <w:tcPr>
            <w:tcW w:w="884" w:type="dxa"/>
          </w:tcPr>
          <w:p w:rsidR="000954C1" w:rsidRDefault="000954C1" w:rsidP="000954C1">
            <w:pPr>
              <w:spacing w:line="360" w:lineRule="auto"/>
              <w:jc w:val="center"/>
              <w:rPr>
                <w:b/>
              </w:rPr>
            </w:pPr>
            <w:r>
              <w:rPr>
                <w:b/>
              </w:rPr>
              <w:t>13.2.</w:t>
            </w:r>
          </w:p>
        </w:tc>
        <w:tc>
          <w:tcPr>
            <w:tcW w:w="6028" w:type="dxa"/>
            <w:tcBorders>
              <w:right w:val="single" w:sz="4" w:space="0" w:color="auto"/>
            </w:tcBorders>
            <w:vAlign w:val="center"/>
          </w:tcPr>
          <w:p w:rsidR="000954C1" w:rsidRPr="000954C1" w:rsidRDefault="000954C1" w:rsidP="000954C1">
            <w:pPr>
              <w:spacing w:line="360" w:lineRule="auto"/>
              <w:jc w:val="both"/>
              <w:rPr>
                <w:rFonts w:ascii="Times New Roman" w:hAnsi="Times New Roman" w:cs="Times New Roman"/>
                <w:b/>
                <w:sz w:val="24"/>
                <w:szCs w:val="24"/>
              </w:rPr>
            </w:pPr>
            <w:proofErr w:type="spellStart"/>
            <w:r w:rsidRPr="000954C1">
              <w:rPr>
                <w:rFonts w:ascii="Times New Roman" w:hAnsi="Times New Roman" w:cs="Times New Roman"/>
                <w:b/>
                <w:sz w:val="24"/>
                <w:szCs w:val="24"/>
              </w:rPr>
              <w:t>Korištenje</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javnih</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površina</w:t>
            </w:r>
            <w:proofErr w:type="spellEnd"/>
            <w:r w:rsidRPr="000954C1">
              <w:rPr>
                <w:rFonts w:ascii="Times New Roman" w:hAnsi="Times New Roman" w:cs="Times New Roman"/>
                <w:b/>
                <w:sz w:val="24"/>
                <w:szCs w:val="24"/>
              </w:rPr>
              <w:t xml:space="preserve"> van </w:t>
            </w:r>
            <w:proofErr w:type="spellStart"/>
            <w:r w:rsidRPr="000954C1">
              <w:rPr>
                <w:rFonts w:ascii="Times New Roman" w:hAnsi="Times New Roman" w:cs="Times New Roman"/>
                <w:b/>
                <w:sz w:val="24"/>
                <w:szCs w:val="24"/>
              </w:rPr>
              <w:t>naseljenih</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mjesta</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za</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obavljanje</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djelatnosti</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ugostiteljstvo</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trgovine</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piljare</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tezge</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zabava</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parkiranja</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odlaganja</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i</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drugi</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vidovi</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zauzimanja</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javnih</w:t>
            </w:r>
            <w:proofErr w:type="spellEnd"/>
            <w:r w:rsidRPr="000954C1">
              <w:rPr>
                <w:rFonts w:ascii="Times New Roman" w:hAnsi="Times New Roman" w:cs="Times New Roman"/>
                <w:b/>
                <w:sz w:val="24"/>
                <w:szCs w:val="24"/>
              </w:rPr>
              <w:t xml:space="preserve"> </w:t>
            </w:r>
            <w:proofErr w:type="spellStart"/>
            <w:r w:rsidRPr="000954C1">
              <w:rPr>
                <w:rFonts w:ascii="Times New Roman" w:hAnsi="Times New Roman" w:cs="Times New Roman"/>
                <w:b/>
                <w:sz w:val="24"/>
                <w:szCs w:val="24"/>
              </w:rPr>
              <w:t>površina</w:t>
            </w:r>
            <w:proofErr w:type="spellEnd"/>
          </w:p>
        </w:tc>
        <w:tc>
          <w:tcPr>
            <w:tcW w:w="1554" w:type="dxa"/>
            <w:tcBorders>
              <w:left w:val="single" w:sz="4" w:space="0" w:color="auto"/>
            </w:tcBorders>
          </w:tcPr>
          <w:p w:rsidR="000954C1" w:rsidRDefault="000954C1" w:rsidP="000954C1">
            <w:pPr>
              <w:spacing w:line="360" w:lineRule="auto"/>
              <w:jc w:val="both"/>
              <w:rPr>
                <w:b/>
              </w:rPr>
            </w:pPr>
          </w:p>
          <w:p w:rsidR="000954C1" w:rsidRDefault="000954C1" w:rsidP="000954C1">
            <w:pPr>
              <w:spacing w:line="360" w:lineRule="auto"/>
              <w:jc w:val="both"/>
              <w:rPr>
                <w:b/>
              </w:rPr>
            </w:pPr>
          </w:p>
          <w:p w:rsidR="000954C1" w:rsidRDefault="000954C1" w:rsidP="000954C1">
            <w:pPr>
              <w:spacing w:line="360" w:lineRule="auto"/>
              <w:jc w:val="both"/>
              <w:rPr>
                <w:b/>
              </w:rPr>
            </w:pPr>
            <w:proofErr w:type="spellStart"/>
            <w:r>
              <w:rPr>
                <w:b/>
              </w:rPr>
              <w:t>Fizička</w:t>
            </w:r>
            <w:proofErr w:type="spellEnd"/>
            <w:r>
              <w:rPr>
                <w:b/>
              </w:rPr>
              <w:t xml:space="preserve"> </w:t>
            </w:r>
            <w:proofErr w:type="spellStart"/>
            <w:r>
              <w:rPr>
                <w:b/>
              </w:rPr>
              <w:t>i</w:t>
            </w:r>
            <w:proofErr w:type="spellEnd"/>
            <w:r>
              <w:rPr>
                <w:b/>
              </w:rPr>
              <w:t xml:space="preserve"> </w:t>
            </w:r>
            <w:proofErr w:type="spellStart"/>
            <w:r>
              <w:rPr>
                <w:b/>
              </w:rPr>
              <w:t>pravna</w:t>
            </w:r>
            <w:proofErr w:type="spellEnd"/>
            <w:r>
              <w:rPr>
                <w:b/>
              </w:rPr>
              <w:t xml:space="preserve"> </w:t>
            </w:r>
            <w:proofErr w:type="spellStart"/>
            <w:r>
              <w:rPr>
                <w:b/>
              </w:rPr>
              <w:t>lica</w:t>
            </w:r>
            <w:proofErr w:type="spellEnd"/>
          </w:p>
        </w:tc>
        <w:tc>
          <w:tcPr>
            <w:tcW w:w="1144" w:type="dxa"/>
          </w:tcPr>
          <w:p w:rsidR="000954C1" w:rsidRDefault="000954C1" w:rsidP="000954C1">
            <w:pPr>
              <w:spacing w:line="360" w:lineRule="auto"/>
              <w:jc w:val="center"/>
              <w:rPr>
                <w:b/>
              </w:rPr>
            </w:pPr>
          </w:p>
          <w:p w:rsidR="000954C1" w:rsidRDefault="000954C1" w:rsidP="000954C1">
            <w:pPr>
              <w:spacing w:line="360" w:lineRule="auto"/>
              <w:jc w:val="center"/>
              <w:rPr>
                <w:b/>
              </w:rPr>
            </w:pPr>
          </w:p>
          <w:p w:rsidR="000954C1" w:rsidRPr="00AE178F" w:rsidRDefault="000954C1" w:rsidP="000954C1">
            <w:pPr>
              <w:spacing w:line="360" w:lineRule="auto"/>
              <w:jc w:val="center"/>
              <w:rPr>
                <w:b/>
              </w:rPr>
            </w:pPr>
            <w:r>
              <w:rPr>
                <w:b/>
              </w:rPr>
              <w:t>m</w:t>
            </w:r>
            <w:r>
              <w:rPr>
                <w:b/>
                <w:vertAlign w:val="superscript"/>
              </w:rPr>
              <w:t>2</w:t>
            </w:r>
            <w:r>
              <w:rPr>
                <w:b/>
              </w:rPr>
              <w:t>/</w:t>
            </w:r>
            <w:proofErr w:type="spellStart"/>
            <w:r>
              <w:rPr>
                <w:b/>
              </w:rPr>
              <w:t>dan</w:t>
            </w:r>
            <w:proofErr w:type="spellEnd"/>
          </w:p>
        </w:tc>
        <w:tc>
          <w:tcPr>
            <w:tcW w:w="1196" w:type="dxa"/>
          </w:tcPr>
          <w:p w:rsidR="000954C1" w:rsidRDefault="000954C1" w:rsidP="000954C1">
            <w:pPr>
              <w:spacing w:line="360" w:lineRule="auto"/>
              <w:jc w:val="right"/>
              <w:rPr>
                <w:b/>
              </w:rPr>
            </w:pPr>
          </w:p>
          <w:p w:rsidR="000954C1" w:rsidRDefault="000954C1" w:rsidP="000954C1">
            <w:pPr>
              <w:spacing w:line="360" w:lineRule="auto"/>
              <w:jc w:val="right"/>
              <w:rPr>
                <w:b/>
              </w:rPr>
            </w:pPr>
          </w:p>
          <w:p w:rsidR="000954C1" w:rsidRDefault="000954C1" w:rsidP="000954C1">
            <w:pPr>
              <w:spacing w:line="360" w:lineRule="auto"/>
              <w:jc w:val="right"/>
              <w:rPr>
                <w:b/>
              </w:rPr>
            </w:pPr>
            <w:r>
              <w:rPr>
                <w:b/>
              </w:rPr>
              <w:t>0,10 KM</w:t>
            </w:r>
          </w:p>
        </w:tc>
      </w:tr>
    </w:tbl>
    <w:p w:rsidR="00332270" w:rsidRDefault="00332270" w:rsidP="000954C1"/>
    <w:p w:rsidR="00332270" w:rsidRPr="00332270" w:rsidRDefault="00332270" w:rsidP="00332270"/>
    <w:p w:rsidR="00332270" w:rsidRPr="00332270" w:rsidRDefault="00332270" w:rsidP="00332270"/>
    <w:p w:rsidR="00332270" w:rsidRPr="00332270" w:rsidRDefault="00332270" w:rsidP="00332270"/>
    <w:p w:rsidR="00332270" w:rsidRDefault="00332270" w:rsidP="00332270">
      <w:pPr>
        <w:pStyle w:val="BodyTextIndent2"/>
        <w:spacing w:line="360" w:lineRule="auto"/>
        <w:ind w:left="-426"/>
      </w:pPr>
      <w:r>
        <w:rPr>
          <w:sz w:val="22"/>
          <w:szCs w:val="22"/>
          <w:lang w:val="en-US" w:eastAsia="en-US"/>
        </w:rPr>
        <w:t>*</w:t>
      </w:r>
      <w:r w:rsidRPr="00834265">
        <w:rPr>
          <w:sz w:val="22"/>
          <w:szCs w:val="22"/>
        </w:rPr>
        <w:t xml:space="preserve">NAPOMENA: Na zahtjev zainteresovane stranke, ovakav način korištenja javnih površina </w:t>
      </w:r>
      <w:proofErr w:type="gramStart"/>
      <w:r w:rsidRPr="00834265">
        <w:rPr>
          <w:sz w:val="22"/>
          <w:szCs w:val="22"/>
        </w:rPr>
        <w:t>odobrava  JKP</w:t>
      </w:r>
      <w:proofErr w:type="gramEnd"/>
      <w:r w:rsidRPr="00834265">
        <w:rPr>
          <w:sz w:val="22"/>
          <w:szCs w:val="22"/>
        </w:rPr>
        <w:t xml:space="preserve"> «ČISTOĆA» doo Čelić uz prethodnu saglasnost nadležnoga općinskoga organa. Ovakav način korištenja javnih površina odobrava se samo u izuzetnim slučajevima. Ako stranka bez odobrenja koristi ili je koristila javnu površinu dužna je za taj period korištenja uplatiti JKP «ČISTOĆA» doo Čelić odgovarajući iznos obračunat na osnovu gore navedenih cijen</w:t>
      </w:r>
      <w:r>
        <w:rPr>
          <w:sz w:val="22"/>
          <w:szCs w:val="22"/>
        </w:rPr>
        <w:t>a.</w:t>
      </w:r>
    </w:p>
    <w:p w:rsidR="00332270" w:rsidRPr="00332270" w:rsidRDefault="00332270" w:rsidP="00332270"/>
    <w:p w:rsidR="00332270" w:rsidRPr="00332270" w:rsidRDefault="00332270" w:rsidP="00332270"/>
    <w:p w:rsidR="00332270" w:rsidRPr="00332270" w:rsidRDefault="00332270" w:rsidP="00332270"/>
    <w:p w:rsidR="00332270" w:rsidRPr="00332270" w:rsidRDefault="00332270" w:rsidP="00332270"/>
    <w:p w:rsidR="00332270" w:rsidRPr="00332270" w:rsidRDefault="00332270" w:rsidP="00332270"/>
    <w:p w:rsidR="00332270" w:rsidRPr="00332270" w:rsidRDefault="00332270" w:rsidP="00332270"/>
    <w:p w:rsidR="00332270" w:rsidRPr="00332270" w:rsidRDefault="00332270" w:rsidP="00332270"/>
    <w:p w:rsidR="00332270" w:rsidRPr="00332270" w:rsidRDefault="00332270" w:rsidP="00332270"/>
    <w:p w:rsidR="00332270" w:rsidRPr="00332270" w:rsidRDefault="00332270" w:rsidP="00332270"/>
    <w:p w:rsidR="00332270" w:rsidRPr="00332270" w:rsidRDefault="00332270" w:rsidP="00332270"/>
    <w:p w:rsidR="00332270" w:rsidRPr="00332270" w:rsidRDefault="00332270" w:rsidP="00332270"/>
    <w:p w:rsidR="00332270" w:rsidRPr="00332270" w:rsidRDefault="00332270" w:rsidP="00332270"/>
    <w:p w:rsidR="00332270" w:rsidRPr="00332270" w:rsidRDefault="00332270" w:rsidP="00332270"/>
    <w:p w:rsidR="00332270" w:rsidRPr="00332270" w:rsidRDefault="00332270" w:rsidP="00332270"/>
    <w:p w:rsidR="00332270" w:rsidRPr="00332270" w:rsidRDefault="00332270" w:rsidP="00332270"/>
    <w:p w:rsidR="00E055AD" w:rsidRPr="00332270" w:rsidRDefault="00E055AD" w:rsidP="00332270"/>
    <w:sectPr w:rsidR="00E055AD" w:rsidRPr="00332270" w:rsidSect="00E055A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Times New Roman"/>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56CB"/>
    <w:rsid w:val="000954C1"/>
    <w:rsid w:val="001247ED"/>
    <w:rsid w:val="00126175"/>
    <w:rsid w:val="001456CB"/>
    <w:rsid w:val="001E7618"/>
    <w:rsid w:val="00332270"/>
    <w:rsid w:val="0034090D"/>
    <w:rsid w:val="007A6A65"/>
    <w:rsid w:val="0090079F"/>
    <w:rsid w:val="00A453FA"/>
    <w:rsid w:val="00B32041"/>
    <w:rsid w:val="00CB407B"/>
    <w:rsid w:val="00D82E62"/>
    <w:rsid w:val="00E055AD"/>
    <w:rsid w:val="00EB26D2"/>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6CB"/>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56CB"/>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
    <w:name w:val="Light Shading"/>
    <w:basedOn w:val="TableNormal"/>
    <w:uiPriority w:val="60"/>
    <w:rsid w:val="001247E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
    <w:name w:val="Light Shading Accent 1"/>
    <w:basedOn w:val="TableNormal"/>
    <w:uiPriority w:val="60"/>
    <w:rsid w:val="001247E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1247E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1247ED"/>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BodyTextIndent2Char">
    <w:name w:val="Body Text Indent 2 Char"/>
    <w:aliases w:val="uvlaka 2 Char"/>
    <w:basedOn w:val="DefaultParagraphFont"/>
    <w:link w:val="BodyTextIndent2"/>
    <w:semiHidden/>
    <w:locked/>
    <w:rsid w:val="00332270"/>
    <w:rPr>
      <w:b/>
      <w:sz w:val="24"/>
      <w:szCs w:val="24"/>
      <w:lang w:eastAsia="hr-HR"/>
    </w:rPr>
  </w:style>
  <w:style w:type="paragraph" w:styleId="BodyTextIndent2">
    <w:name w:val="Body Text Indent 2"/>
    <w:aliases w:val="uvlaka 2"/>
    <w:basedOn w:val="Normal"/>
    <w:link w:val="BodyTextIndent2Char"/>
    <w:semiHidden/>
    <w:unhideWhenUsed/>
    <w:rsid w:val="00332270"/>
    <w:pPr>
      <w:spacing w:after="0" w:line="240" w:lineRule="auto"/>
      <w:ind w:left="708"/>
      <w:jc w:val="both"/>
    </w:pPr>
    <w:rPr>
      <w:rFonts w:eastAsiaTheme="minorHAnsi"/>
      <w:b/>
      <w:sz w:val="24"/>
      <w:szCs w:val="24"/>
      <w:lang w:val="hr-HR" w:eastAsia="hr-HR"/>
    </w:rPr>
  </w:style>
  <w:style w:type="character" w:customStyle="1" w:styleId="BodyTextIndent2Char1">
    <w:name w:val="Body Text Indent 2 Char1"/>
    <w:basedOn w:val="DefaultParagraphFont"/>
    <w:link w:val="BodyTextIndent2"/>
    <w:uiPriority w:val="99"/>
    <w:semiHidden/>
    <w:rsid w:val="00332270"/>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2022-10-10T06:35:00Z</dcterms:created>
  <dcterms:modified xsi:type="dcterms:W3CDTF">2022-10-10T06:37:00Z</dcterms:modified>
</cp:coreProperties>
</file>